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72A30" w14:textId="36057ACB" w:rsidR="003266BA" w:rsidRPr="003266BA" w:rsidRDefault="00436601" w:rsidP="00436601">
      <w:pPr>
        <w:jc w:val="both"/>
        <w:rPr>
          <w:b/>
          <w:bCs/>
        </w:rPr>
      </w:pPr>
      <w:r>
        <w:rPr>
          <w:b/>
          <w:bCs/>
        </w:rPr>
        <w:t xml:space="preserve">Príloha č. 1 </w:t>
      </w:r>
      <w:r w:rsidR="003266BA" w:rsidRPr="003266BA">
        <w:rPr>
          <w:b/>
          <w:bCs/>
        </w:rPr>
        <w:t>Minimálne náležitosti písomného dodatku k </w:t>
      </w:r>
      <w:r w:rsidR="003266BA">
        <w:rPr>
          <w:b/>
          <w:bCs/>
        </w:rPr>
        <w:t>z</w:t>
      </w:r>
      <w:r w:rsidR="003266BA" w:rsidRPr="003266BA">
        <w:rPr>
          <w:b/>
          <w:bCs/>
        </w:rPr>
        <w:t>mluve o poskytnutí NFP vo vzťahu k poskytnutiu a používaniu dodatočného príspevku a s tým súvisiacim právam a povinnostiam poskytovateľa a prijímateľa.</w:t>
      </w:r>
    </w:p>
    <w:p w14:paraId="760B5EC4" w14:textId="0DA12C0D" w:rsidR="003266BA" w:rsidRDefault="003266BA" w:rsidP="004D1E69">
      <w:pPr>
        <w:jc w:val="both"/>
      </w:pPr>
      <w:r w:rsidRPr="00436601">
        <w:t>Obsahom tejto prílo</w:t>
      </w:r>
      <w:r w:rsidR="00436601">
        <w:t>hy č. 1</w:t>
      </w:r>
      <w:r w:rsidRPr="00436601">
        <w:t xml:space="preserve"> nie je plnohodnotné znenie návrhu dodatku, ktoré musí obsahovať okrem samotnej zmeny zmluvy o poskytnutí NFP aj vymedzenie hlavičky (označenie čísla dodatku, právneho základu jeho uzavretia</w:t>
      </w:r>
      <w:r>
        <w:t xml:space="preserve"> a vymedzenia zmluvy o poskytnutí NFP, ktorej zmena sa príslušným dodatkom realizuje</w:t>
      </w:r>
      <w:r w:rsidRPr="00436601">
        <w:t xml:space="preserve">), vymedzenie zmluvných strán, </w:t>
      </w:r>
      <w:r w:rsidR="00436601">
        <w:t>prípadnú preambulu</w:t>
      </w:r>
      <w:r w:rsidR="00607CEC">
        <w:t xml:space="preserve"> dodatku, </w:t>
      </w:r>
      <w:r w:rsidRPr="00436601">
        <w:t xml:space="preserve">záverečné ustanovenia a podpisovú časť. Obsah tejto prílohy č. </w:t>
      </w:r>
      <w:r w:rsidR="00436601">
        <w:t>1</w:t>
      </w:r>
      <w:r w:rsidRPr="00436601">
        <w:t xml:space="preserve"> sa sústredí iba na vymedzenie minimálnych náležitostí samotnej zmeny zmluvy o poskytnutí NFP z dôvodu rešpektovania osobitostí zmlúv </w:t>
      </w:r>
      <w:r>
        <w:t xml:space="preserve">o poskytnutí NFP </w:t>
      </w:r>
      <w:r w:rsidRPr="00436601">
        <w:t>používaných v rámci jednotlivých operačných programov</w:t>
      </w:r>
      <w:r w:rsidR="00436601">
        <w:t>,</w:t>
      </w:r>
      <w:r w:rsidRPr="00436601">
        <w:t xml:space="preserve"> ako aj postupov pri zmene zmluvy o poskytnutí NFP, ktoré sú zavedené rôznymi poskytovateľmi rôznym spôsobom. </w:t>
      </w:r>
    </w:p>
    <w:p w14:paraId="73CE5E4B" w14:textId="7AD9AF85" w:rsidR="003266BA" w:rsidRPr="00BD2587" w:rsidRDefault="003266BA" w:rsidP="004D1E69">
      <w:pPr>
        <w:jc w:val="both"/>
        <w:rPr>
          <w:rFonts w:cstheme="minorHAnsi"/>
        </w:rPr>
      </w:pPr>
      <w:r>
        <w:t>Z </w:t>
      </w:r>
      <w:r w:rsidRPr="00BD2587">
        <w:rPr>
          <w:rFonts w:cstheme="minorHAnsi"/>
        </w:rPr>
        <w:t xml:space="preserve">hľadiska účelu sledovaného Metodickým výkladom CKO č. 11 je kľúčové stanoviť minimálne náležitosti obsahovej časti dodatku k zmluve o poskytnutí NFP, ktoré sú nasledovné:  </w:t>
      </w:r>
    </w:p>
    <w:p w14:paraId="406AA61A" w14:textId="0D658D04" w:rsidR="00BD2587" w:rsidRPr="00BD2587" w:rsidRDefault="00607CEC" w:rsidP="00BD2587">
      <w:pPr>
        <w:pStyle w:val="pf0"/>
        <w:rPr>
          <w:rFonts w:asciiTheme="minorHAnsi" w:hAnsiTheme="minorHAnsi" w:cstheme="minorHAnsi"/>
          <w:sz w:val="22"/>
          <w:szCs w:val="22"/>
        </w:rPr>
      </w:pPr>
      <w:r w:rsidRPr="00BD2587">
        <w:rPr>
          <w:rFonts w:asciiTheme="minorHAnsi" w:hAnsiTheme="minorHAnsi" w:cstheme="minorHAnsi"/>
          <w:sz w:val="22"/>
          <w:szCs w:val="22"/>
        </w:rPr>
        <w:t>„</w:t>
      </w:r>
      <w:r w:rsidR="00BD2587" w:rsidRPr="00BD2587">
        <w:rPr>
          <w:rFonts w:asciiTheme="minorHAnsi" w:hAnsiTheme="minorHAnsi" w:cstheme="minorHAnsi"/>
          <w:sz w:val="22"/>
          <w:szCs w:val="22"/>
        </w:rPr>
        <w:t xml:space="preserve">V úvodnej časti dodatku k Zmluve o poskytnutí NFP je potrebné uviesť </w:t>
      </w:r>
      <w:r w:rsidR="00BD2587" w:rsidRPr="00BD2587">
        <w:rPr>
          <w:rStyle w:val="cf01"/>
          <w:rFonts w:asciiTheme="minorHAnsi" w:hAnsiTheme="minorHAnsi" w:cstheme="minorHAnsi"/>
          <w:sz w:val="22"/>
          <w:szCs w:val="22"/>
        </w:rPr>
        <w:t>kód projektu ITMS</w:t>
      </w:r>
      <w:r w:rsidR="00BD2587">
        <w:rPr>
          <w:rStyle w:val="cf01"/>
          <w:rFonts w:asciiTheme="minorHAnsi" w:hAnsiTheme="minorHAnsi" w:cstheme="minorHAnsi"/>
          <w:sz w:val="22"/>
          <w:szCs w:val="22"/>
        </w:rPr>
        <w:t>2014+</w:t>
      </w:r>
      <w:bookmarkStart w:id="0" w:name="_GoBack"/>
      <w:bookmarkEnd w:id="0"/>
      <w:r w:rsidR="00BD2587" w:rsidRPr="00BD2587">
        <w:rPr>
          <w:rStyle w:val="cf01"/>
          <w:rFonts w:asciiTheme="minorHAnsi" w:hAnsiTheme="minorHAnsi" w:cstheme="minorHAnsi"/>
          <w:sz w:val="22"/>
          <w:szCs w:val="22"/>
        </w:rPr>
        <w:t xml:space="preserve"> z Operačného programu Dodatočný príspevok, na základe ktorého bude prijímateľ čerpať dodatočný príspevok. </w:t>
      </w:r>
    </w:p>
    <w:p w14:paraId="56730292" w14:textId="77777777" w:rsidR="00BD2587" w:rsidRPr="00BD2587" w:rsidRDefault="00BD2587" w:rsidP="00BD2587">
      <w:pPr>
        <w:jc w:val="both"/>
        <w:rPr>
          <w:rFonts w:cstheme="minorHAnsi"/>
        </w:rPr>
      </w:pPr>
      <w:r w:rsidRPr="00BD2587">
        <w:rPr>
          <w:rFonts w:cstheme="minorHAnsi"/>
        </w:rPr>
        <w:t xml:space="preserve">K samotnej zmene zmluvy o poskytnutí NFP sa uvádzajú minimálne náležitosti zmeny takto: </w:t>
      </w:r>
    </w:p>
    <w:p w14:paraId="22E450D5" w14:textId="77777777" w:rsidR="00607CEC" w:rsidRDefault="00607CEC" w:rsidP="004D1E69">
      <w:pPr>
        <w:jc w:val="both"/>
      </w:pPr>
      <w:r w:rsidRPr="00BD2587">
        <w:rPr>
          <w:rFonts w:cstheme="minorHAnsi"/>
        </w:rPr>
        <w:t>Zmluvné strany sa dohodli na nasledovných zmenách</w:t>
      </w:r>
      <w:r>
        <w:t xml:space="preserve"> Zmluvy o poskytnutí podľa obsahu tohto dodatku k Zmluve o poskytnutí NFP: </w:t>
      </w:r>
    </w:p>
    <w:p w14:paraId="40293600" w14:textId="43A585AF" w:rsidR="00CC5F8E" w:rsidRPr="00436601" w:rsidRDefault="00A24913" w:rsidP="00436601">
      <w:pPr>
        <w:pStyle w:val="Odsekzoznamu"/>
        <w:numPr>
          <w:ilvl w:val="0"/>
          <w:numId w:val="7"/>
        </w:numPr>
        <w:rPr>
          <w:rFonts w:cs="Arial"/>
          <w:b/>
          <w:bCs/>
          <w:szCs w:val="16"/>
        </w:rPr>
      </w:pPr>
      <w:r w:rsidRPr="00436601">
        <w:rPr>
          <w:b/>
          <w:bCs/>
        </w:rPr>
        <w:t>Do zmluvy sa dopĺňa za existujúci článok 3. Výdavky projektu a NFP</w:t>
      </w:r>
      <w:r w:rsidR="00CC5F8E" w:rsidRPr="00436601">
        <w:rPr>
          <w:rFonts w:cs="Arial"/>
          <w:b/>
          <w:bCs/>
          <w:szCs w:val="16"/>
        </w:rPr>
        <w:t xml:space="preserve"> nový článok 3a.</w:t>
      </w:r>
      <w:r w:rsidRPr="00436601">
        <w:rPr>
          <w:rFonts w:cs="Arial"/>
          <w:b/>
          <w:bCs/>
          <w:szCs w:val="16"/>
        </w:rPr>
        <w:t xml:space="preserve">, ktorý znie vrátane nadpisu takto: </w:t>
      </w:r>
    </w:p>
    <w:p w14:paraId="3293586C" w14:textId="4BBDD71D" w:rsidR="000963D5" w:rsidRPr="00141C6C" w:rsidRDefault="000963D5" w:rsidP="004D1E69">
      <w:pPr>
        <w:jc w:val="both"/>
        <w:rPr>
          <w:rFonts w:cs="Arial"/>
          <w:b/>
          <w:bCs/>
          <w:szCs w:val="16"/>
        </w:rPr>
      </w:pPr>
      <w:r w:rsidRPr="00141C6C">
        <w:rPr>
          <w:rFonts w:cs="Arial"/>
          <w:b/>
          <w:bCs/>
          <w:szCs w:val="16"/>
        </w:rPr>
        <w:t>3a. DODATOČNÝ PRÍSPEVOK</w:t>
      </w:r>
    </w:p>
    <w:p w14:paraId="75DC8412" w14:textId="4FA832CF" w:rsidR="00F94885" w:rsidRDefault="00F94885" w:rsidP="004D1E69">
      <w:pPr>
        <w:pStyle w:val="Odsekzoznamu"/>
        <w:numPr>
          <w:ilvl w:val="0"/>
          <w:numId w:val="2"/>
        </w:numPr>
        <w:jc w:val="both"/>
      </w:pPr>
      <w:r>
        <w:t>Zmluvné strany sa dohodli, že na Realizáciu hlavných aktivít Projekt</w:t>
      </w:r>
      <w:r w:rsidR="00BB1453">
        <w:t>u v časti, ktorá v dôsledku rastu cien nie je v schválenom rozsahu finančne krytá Celkovými oprávnenými výdavkami Projektu podľa článku 3 ods. 3.1</w:t>
      </w:r>
      <w:r w:rsidR="000B1C14">
        <w:t xml:space="preserve"> a za účelom dosiahnutia cieľa Projektu podľa </w:t>
      </w:r>
      <w:r w:rsidR="00AB2D4F">
        <w:t>článku 2 ods. 2.2 zmluvy</w:t>
      </w:r>
      <w:r>
        <w:t xml:space="preserve">: </w:t>
      </w:r>
    </w:p>
    <w:p w14:paraId="3E03661B" w14:textId="30644027" w:rsidR="002526C0" w:rsidRDefault="002526C0" w:rsidP="004D1E69">
      <w:pPr>
        <w:pStyle w:val="Odsekzoznamu"/>
        <w:numPr>
          <w:ilvl w:val="0"/>
          <w:numId w:val="3"/>
        </w:numPr>
        <w:jc w:val="both"/>
      </w:pPr>
      <w:r>
        <w:t>dochádza k n</w:t>
      </w:r>
      <w:r w:rsidR="00BB1453">
        <w:t>avýšeni</w:t>
      </w:r>
      <w:r>
        <w:t>u</w:t>
      </w:r>
      <w:r w:rsidR="00BB1453">
        <w:t xml:space="preserve"> Celkových oprávnených výdavkov</w:t>
      </w:r>
      <w:r>
        <w:t xml:space="preserve"> o sumu .................. EUR (slovom .................. eur), </w:t>
      </w:r>
    </w:p>
    <w:p w14:paraId="4CF24954" w14:textId="76981702" w:rsidR="000963D5" w:rsidRDefault="00332766" w:rsidP="004D1E69">
      <w:pPr>
        <w:pStyle w:val="Odsekzoznamu"/>
        <w:numPr>
          <w:ilvl w:val="0"/>
          <w:numId w:val="3"/>
        </w:numPr>
        <w:jc w:val="both"/>
      </w:pPr>
      <w:r>
        <w:t xml:space="preserve">Poskytovateľ poskytne Prijímateľovi </w:t>
      </w:r>
      <w:r w:rsidR="00141C6C">
        <w:t>D</w:t>
      </w:r>
      <w:r>
        <w:t>odatočný príspevok k</w:t>
      </w:r>
      <w:r w:rsidR="00CA0F8F">
        <w:t> </w:t>
      </w:r>
      <w:r>
        <w:t>NFP</w:t>
      </w:r>
      <w:r w:rsidR="00CA0F8F">
        <w:t xml:space="preserve"> do výšky ................. EUR (slovom ....................... eur)</w:t>
      </w:r>
      <w:r w:rsidR="002526C0">
        <w:t xml:space="preserve">, čo predstavuje podiel z navýšených Celkových oprávnených výdavkov podľa písm. a) vyššie </w:t>
      </w:r>
      <w:r w:rsidR="00141C6C">
        <w:t>v rovnakej percentuálnej výške, ako bola</w:t>
      </w:r>
      <w:r w:rsidR="002526C0">
        <w:t xml:space="preserve"> Zmluvnými stranami </w:t>
      </w:r>
      <w:r w:rsidR="00141C6C">
        <w:t>dohodnutá v</w:t>
      </w:r>
      <w:r w:rsidR="002526C0">
        <w:t xml:space="preserve"> článku 3 ods. 3.1 písm. </w:t>
      </w:r>
      <w:commentRangeStart w:id="1"/>
      <w:r w:rsidR="002526C0">
        <w:t xml:space="preserve">c) </w:t>
      </w:r>
      <w:commentRangeEnd w:id="1"/>
      <w:r w:rsidR="000922AE">
        <w:rPr>
          <w:rStyle w:val="Odkaznakomentr"/>
        </w:rPr>
        <w:commentReference w:id="1"/>
      </w:r>
      <w:r w:rsidR="002526C0">
        <w:t>zmluvy</w:t>
      </w:r>
      <w:r w:rsidR="00F94885">
        <w:t xml:space="preserve"> a </w:t>
      </w:r>
    </w:p>
    <w:p w14:paraId="2E178693" w14:textId="1821CA1E" w:rsidR="00F94885" w:rsidRDefault="00F94885" w:rsidP="004D1E69">
      <w:pPr>
        <w:pStyle w:val="Odsekzoznamu"/>
        <w:numPr>
          <w:ilvl w:val="0"/>
          <w:numId w:val="3"/>
        </w:numPr>
        <w:jc w:val="both"/>
      </w:pPr>
      <w:r>
        <w:t xml:space="preserve">Prijímateľ vynaloží </w:t>
      </w:r>
      <w:r w:rsidR="00697D16">
        <w:t>vlastné zdroje financovania v rovnakej percentuálnej výške</w:t>
      </w:r>
      <w:r w:rsidR="00403C84">
        <w:t xml:space="preserve"> z navýšených Celkových oprávnených výdavkov podľa písm. a) vyššie</w:t>
      </w:r>
      <w:r w:rsidR="00697D16">
        <w:t>, ako bola dohodnutá v</w:t>
      </w:r>
      <w:r w:rsidR="00141C6C">
        <w:t xml:space="preserve">o vzťahu k NFP v článku 3 ods. 3.1 písm. </w:t>
      </w:r>
      <w:commentRangeStart w:id="2"/>
      <w:r w:rsidR="00141C6C">
        <w:t xml:space="preserve">d) </w:t>
      </w:r>
      <w:commentRangeEnd w:id="2"/>
      <w:r w:rsidR="000922AE">
        <w:rPr>
          <w:rStyle w:val="Odkaznakomentr"/>
        </w:rPr>
        <w:commentReference w:id="2"/>
      </w:r>
      <w:r w:rsidR="00141C6C">
        <w:t xml:space="preserve">bod (i) do výšky ................ EUR (slovom ................. eur). </w:t>
      </w:r>
    </w:p>
    <w:p w14:paraId="63539379" w14:textId="77777777" w:rsidR="00126399" w:rsidRDefault="00126399" w:rsidP="004D1E69">
      <w:pPr>
        <w:pStyle w:val="Odsekzoznamu"/>
        <w:ind w:left="1080"/>
        <w:jc w:val="both"/>
      </w:pPr>
    </w:p>
    <w:p w14:paraId="00498FF0" w14:textId="36465F0B" w:rsidR="00403C84" w:rsidRDefault="00403C84" w:rsidP="004D1E69">
      <w:pPr>
        <w:pStyle w:val="Odsekzoznamu"/>
        <w:numPr>
          <w:ilvl w:val="0"/>
          <w:numId w:val="2"/>
        </w:numPr>
        <w:jc w:val="both"/>
      </w:pPr>
      <w:r>
        <w:t>Právne účinky vo vzťahu k možnosti využiť Dodatočný príspevok a s tým súvisiacej oprávnenosti výdavkov v navýšenom rozsahu podľa odseku 1 písm. a) tohto článku vznik</w:t>
      </w:r>
      <w:r w:rsidR="00B4684E">
        <w:t>ajú</w:t>
      </w:r>
      <w:r>
        <w:t xml:space="preserve"> </w:t>
      </w:r>
      <w:r w:rsidR="00B4684E">
        <w:t>v deň, kedy Poskytovateľ schváli navýšenie Celkových oprávnených výdavkov a z nich vyplývajúce</w:t>
      </w:r>
      <w:r w:rsidR="00A72217">
        <w:t xml:space="preserve">j výšky </w:t>
      </w:r>
      <w:r w:rsidR="00B4684E">
        <w:t>Dodatočného príspevku prostredníctvom významnejšej zmeny ex ante</w:t>
      </w:r>
      <w:r w:rsidR="00A72217">
        <w:t xml:space="preserve"> podľa článku 6 ods. 6.3 písm. </w:t>
      </w:r>
      <w:r w:rsidR="009F44DA">
        <w:t>k) zmluvy</w:t>
      </w:r>
      <w:r w:rsidR="00B4684E">
        <w:t xml:space="preserve">; Zmluvné strany sa dohodli, že článok 6 ods. 6.11 písm. c) sa nepoužije. </w:t>
      </w:r>
    </w:p>
    <w:p w14:paraId="44B8F8A5" w14:textId="77777777" w:rsidR="00126399" w:rsidRDefault="00126399" w:rsidP="004D1E69">
      <w:pPr>
        <w:pStyle w:val="Odsekzoznamu"/>
        <w:jc w:val="both"/>
      </w:pPr>
    </w:p>
    <w:p w14:paraId="22EC782E" w14:textId="3F95889F" w:rsidR="009F44DA" w:rsidRDefault="009B2699" w:rsidP="004D1E69">
      <w:pPr>
        <w:pStyle w:val="Odsekzoznamu"/>
        <w:numPr>
          <w:ilvl w:val="0"/>
          <w:numId w:val="2"/>
        </w:numPr>
        <w:jc w:val="both"/>
      </w:pPr>
      <w:r>
        <w:t>Na Dodatočn</w:t>
      </w:r>
      <w:r w:rsidR="005805EE">
        <w:t>ý</w:t>
      </w:r>
      <w:r>
        <w:t xml:space="preserve"> príspev</w:t>
      </w:r>
      <w:r w:rsidR="005805EE">
        <w:t>ok, vrátane jeho poskytnutia</w:t>
      </w:r>
      <w:r w:rsidR="00F834D7">
        <w:t xml:space="preserve"> </w:t>
      </w:r>
      <w:r w:rsidR="005805EE">
        <w:t>a</w:t>
      </w:r>
      <w:r w:rsidR="00CF18A8">
        <w:t>lebo</w:t>
      </w:r>
      <w:r w:rsidR="00336646">
        <w:t xml:space="preserve"> vrátenia v časti alebo v celku, </w:t>
      </w:r>
      <w:r>
        <w:t>sa vzťahujú vše</w:t>
      </w:r>
      <w:r w:rsidR="00562380">
        <w:t xml:space="preserve">tky pravidlá, ktoré boli v Zmluve o poskytnutí NFP dohodnuté pre NFP, </w:t>
      </w:r>
      <w:r w:rsidR="00CF18A8">
        <w:t xml:space="preserve">vrátane jeho poskytnutia alebo vrátenia v časti alebo v celku, </w:t>
      </w:r>
      <w:r w:rsidR="00562380">
        <w:t xml:space="preserve">ak nie je v tomto článku </w:t>
      </w:r>
      <w:r w:rsidR="00210F17">
        <w:t>výslovne dohodnuté inak. Prijímateľ sa</w:t>
      </w:r>
      <w:r w:rsidR="00602628">
        <w:t xml:space="preserve"> pri </w:t>
      </w:r>
      <w:r w:rsidR="00E41D5D">
        <w:t>použití</w:t>
      </w:r>
      <w:r w:rsidR="00602628">
        <w:t> Dodatočn</w:t>
      </w:r>
      <w:r w:rsidR="0000146C">
        <w:t>ého</w:t>
      </w:r>
      <w:r w:rsidR="00602628">
        <w:t xml:space="preserve"> príspevk</w:t>
      </w:r>
      <w:r w:rsidR="0000146C">
        <w:t xml:space="preserve">u </w:t>
      </w:r>
      <w:r w:rsidR="00210F17">
        <w:t xml:space="preserve">zaväzuje dodržať všetky povinnosti a záväzky, </w:t>
      </w:r>
      <w:r w:rsidR="00701CD4">
        <w:t xml:space="preserve">ktoré sa podľa Zmluvy o poskytnutí NFP vzťahujú na </w:t>
      </w:r>
      <w:r w:rsidR="0000146C">
        <w:t>použitie</w:t>
      </w:r>
      <w:r w:rsidR="00A97C00">
        <w:t> </w:t>
      </w:r>
      <w:r w:rsidR="00701CD4">
        <w:t>NFP</w:t>
      </w:r>
      <w:r w:rsidR="00A97C00">
        <w:t>.</w:t>
      </w:r>
      <w:r w:rsidR="00BE1AF6">
        <w:t xml:space="preserve"> Žiadne ustanovenie Zmluvy o poskytnutí NFP sa pritom nesmie vykladať tým spô</w:t>
      </w:r>
      <w:r w:rsidR="009F4E88">
        <w:t xml:space="preserve">sobom, aby bránilo v uplatnení pravidiel, postupov, práv, povinností alebo záväzkov Zmluvných strán, ktoré sa vzťahujú </w:t>
      </w:r>
      <w:r w:rsidR="001F72CF">
        <w:t>na poskytnutie alebo na použitie Dodatočného príspevku</w:t>
      </w:r>
      <w:r w:rsidR="009B3ED0">
        <w:t>, ak to nie je výslovne dohodnuté v tomto článku</w:t>
      </w:r>
      <w:r w:rsidR="00470AEB">
        <w:t xml:space="preserve">. </w:t>
      </w:r>
      <w:r w:rsidR="00F81565">
        <w:t>Prepojenie</w:t>
      </w:r>
      <w:r w:rsidR="00492FB9">
        <w:t xml:space="preserve"> na Schválenú žiadosť o NFP, </w:t>
      </w:r>
      <w:r w:rsidR="001B0E41">
        <w:t>Rozpočet Projektu</w:t>
      </w:r>
      <w:r w:rsidR="001E3A61">
        <w:t>, Právne dokumenty vydané podľa tejto Zmluvy o poskytnutí NFP</w:t>
      </w:r>
      <w:r w:rsidR="00862010">
        <w:t xml:space="preserve"> </w:t>
      </w:r>
      <w:r w:rsidR="00E32634">
        <w:t xml:space="preserve">pred nadobudnutím </w:t>
      </w:r>
      <w:r w:rsidR="006919AF">
        <w:t xml:space="preserve">právnych účinkov podľa odseku 2. tohto článku </w:t>
      </w:r>
      <w:r w:rsidR="00BB0A67">
        <w:t>alebo na</w:t>
      </w:r>
      <w:r w:rsidR="00862010">
        <w:t xml:space="preserve"> iné záväzné akty alebo úkony, na ktoré Zmluva o poskytnutí NFP odkazuje, sa vyklad</w:t>
      </w:r>
      <w:r w:rsidR="007A0925">
        <w:t xml:space="preserve">ajú a budú </w:t>
      </w:r>
      <w:r w:rsidR="0064100A">
        <w:t xml:space="preserve">sa </w:t>
      </w:r>
      <w:r w:rsidR="007A0925">
        <w:t xml:space="preserve">uplatňovať </w:t>
      </w:r>
      <w:r w:rsidR="008B75A4">
        <w:t xml:space="preserve">so zreteľom na schválený Dodatočný príspevok. </w:t>
      </w:r>
    </w:p>
    <w:p w14:paraId="55D8DE34" w14:textId="77777777" w:rsidR="00126399" w:rsidRDefault="00126399" w:rsidP="004D1E69">
      <w:pPr>
        <w:pStyle w:val="Odsekzoznamu"/>
        <w:jc w:val="both"/>
      </w:pPr>
    </w:p>
    <w:p w14:paraId="26E6B3F5" w14:textId="05452176" w:rsidR="008F0905" w:rsidRPr="003D45DD" w:rsidRDefault="00DB449A" w:rsidP="004D1E69">
      <w:pPr>
        <w:pStyle w:val="Odsekzoznamu"/>
        <w:numPr>
          <w:ilvl w:val="0"/>
          <w:numId w:val="2"/>
        </w:numPr>
        <w:jc w:val="both"/>
      </w:pPr>
      <w:r>
        <w:t xml:space="preserve">Dodatočný príspevok </w:t>
      </w:r>
      <w:r w:rsidR="000F52FE">
        <w:t xml:space="preserve">možno použiť iba na financovanie </w:t>
      </w:r>
      <w:r w:rsidR="00BF58DB">
        <w:t>Realizácie hlavných aktivít Projektu v</w:t>
      </w:r>
      <w:r w:rsidR="00EA39DC">
        <w:t> </w:t>
      </w:r>
      <w:r w:rsidR="00BF58DB">
        <w:t>rozsahu</w:t>
      </w:r>
      <w:r w:rsidR="00EA39DC">
        <w:t xml:space="preserve"> podľa </w:t>
      </w:r>
      <w:r w:rsidR="000825DB">
        <w:t>Príloh</w:t>
      </w:r>
      <w:r w:rsidR="00EA39DC">
        <w:t>y</w:t>
      </w:r>
      <w:r w:rsidR="000825DB">
        <w:t xml:space="preserve"> č. 2 Zmluvy o poskytnutí NFP </w:t>
      </w:r>
      <w:r w:rsidR="00BF58DB">
        <w:t>ku dňu schválenia</w:t>
      </w:r>
      <w:r w:rsidR="007037BD">
        <w:t xml:space="preserve"> navýšenia Celkových oprávnených výdavkov a z nich vyplývajúcej výšky Dodatočného príspevku podľa odseku 2. tohto článku. </w:t>
      </w:r>
      <w:r w:rsidR="000311E1">
        <w:t xml:space="preserve">Ďalšie zmeny v Projekte </w:t>
      </w:r>
      <w:r w:rsidR="00FE3E88">
        <w:t>súvisiace</w:t>
      </w:r>
      <w:r w:rsidR="003E338A">
        <w:t xml:space="preserve"> s Dodatočným príspevkom </w:t>
      </w:r>
      <w:r w:rsidR="000311E1">
        <w:t>možno vykonávať podľa pravidiel obsiahnutých v Zmluve o poskytnutí NFP, osobitne v článku 6 zmluvy</w:t>
      </w:r>
      <w:r w:rsidR="00EA7E62">
        <w:t>,</w:t>
      </w:r>
      <w:r w:rsidR="003B7375">
        <w:t xml:space="preserve"> s obmedzeniami podľa nasledujúcej vety</w:t>
      </w:r>
      <w:r w:rsidR="000311E1">
        <w:t xml:space="preserve">. </w:t>
      </w:r>
      <w:r w:rsidR="00FE3E88">
        <w:t xml:space="preserve">Zmluvné strany sa výslovne dohodli, že </w:t>
      </w:r>
      <w:r w:rsidR="008B5F22">
        <w:t xml:space="preserve">Dodatočný príspevok nesmie byť použitý na financovanie akejkoľvek časti realizácie </w:t>
      </w:r>
      <w:r w:rsidR="008B5F22" w:rsidRPr="003D45DD">
        <w:t>podporných Aktivít Projektu</w:t>
      </w:r>
      <w:r w:rsidR="003A5524" w:rsidRPr="003D45DD">
        <w:t xml:space="preserve">, na </w:t>
      </w:r>
      <w:r w:rsidR="00057850" w:rsidRPr="003D45DD">
        <w:t xml:space="preserve">financovanie realizácie novej </w:t>
      </w:r>
      <w:r w:rsidR="00530546" w:rsidRPr="003D45DD">
        <w:t>hlavnej A</w:t>
      </w:r>
      <w:r w:rsidR="00057850" w:rsidRPr="003D45DD">
        <w:t>ktivity Projektu</w:t>
      </w:r>
      <w:r w:rsidR="00530546" w:rsidRPr="003D45DD">
        <w:t>, ani na vecné rozšírenie rozsahu oprávneného výdavku Projektu</w:t>
      </w:r>
      <w:r w:rsidR="008B5F22" w:rsidRPr="003D45DD">
        <w:t xml:space="preserve">. </w:t>
      </w:r>
    </w:p>
    <w:p w14:paraId="4743774A" w14:textId="77777777" w:rsidR="00F05AD7" w:rsidRPr="003D45DD" w:rsidRDefault="00F05AD7" w:rsidP="004D1E69">
      <w:pPr>
        <w:pStyle w:val="Odsekzoznamu"/>
        <w:jc w:val="both"/>
      </w:pPr>
    </w:p>
    <w:p w14:paraId="73E22F74" w14:textId="052ACFF2" w:rsidR="00F05AD7" w:rsidRPr="003D45DD" w:rsidRDefault="00422B02" w:rsidP="004D1E69">
      <w:pPr>
        <w:pStyle w:val="Odsekzoznamu"/>
        <w:numPr>
          <w:ilvl w:val="0"/>
          <w:numId w:val="2"/>
        </w:numPr>
        <w:jc w:val="both"/>
      </w:pPr>
      <w:r w:rsidRPr="003D45DD">
        <w:t xml:space="preserve">Podmienky oprávnenosti pre </w:t>
      </w:r>
      <w:r w:rsidR="00F00BDB">
        <w:t>D</w:t>
      </w:r>
      <w:r w:rsidRPr="003D45DD">
        <w:t>odatočný príspevok sú z hľadiska ich vecnej oprávnenosti zhodné s podmienkami oprávnenosti výdavkov pre NFP</w:t>
      </w:r>
      <w:r w:rsidR="00507F08" w:rsidRPr="003D45DD">
        <w:t>, osobitne</w:t>
      </w:r>
      <w:r w:rsidR="00021EF2" w:rsidRPr="003D45DD">
        <w:t xml:space="preserve"> podľa článku 14 ods</w:t>
      </w:r>
      <w:r w:rsidR="003E6413">
        <w:t>ek</w:t>
      </w:r>
      <w:r w:rsidR="00021EF2" w:rsidRPr="003D45DD">
        <w:t xml:space="preserve"> 1 písm. c) až </w:t>
      </w:r>
      <w:r w:rsidR="00232BCA" w:rsidRPr="003D45DD">
        <w:t xml:space="preserve">k) a odsek 3. </w:t>
      </w:r>
    </w:p>
    <w:p w14:paraId="077138D3" w14:textId="77777777" w:rsidR="002204B4" w:rsidRPr="003D45DD" w:rsidRDefault="002204B4" w:rsidP="004D1E69">
      <w:pPr>
        <w:pStyle w:val="Odsekzoznamu"/>
        <w:jc w:val="both"/>
      </w:pPr>
    </w:p>
    <w:p w14:paraId="40F03E5A" w14:textId="40065B92" w:rsidR="002204B4" w:rsidRDefault="002204B4" w:rsidP="004D1E6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83"/>
        <w:jc w:val="both"/>
        <w:rPr>
          <w:rFonts w:cs="Arial"/>
          <w:szCs w:val="16"/>
        </w:rPr>
      </w:pPr>
      <w:r w:rsidRPr="003D45DD">
        <w:rPr>
          <w:rFonts w:cs="Arial"/>
          <w:szCs w:val="16"/>
        </w:rPr>
        <w:t xml:space="preserve">Dodatočný príspevok </w:t>
      </w:r>
      <w:r w:rsidR="001E5E51">
        <w:rPr>
          <w:rFonts w:cs="Arial"/>
          <w:szCs w:val="16"/>
        </w:rPr>
        <w:t xml:space="preserve">je možné poskytnúť </w:t>
      </w:r>
      <w:r w:rsidRPr="003D45DD">
        <w:rPr>
          <w:rFonts w:cs="Arial"/>
          <w:szCs w:val="16"/>
        </w:rPr>
        <w:t xml:space="preserve">Prijímateľovi </w:t>
      </w:r>
      <w:r w:rsidR="00E4105E" w:rsidRPr="003D45DD">
        <w:rPr>
          <w:rFonts w:cs="Arial"/>
          <w:szCs w:val="16"/>
        </w:rPr>
        <w:t xml:space="preserve">iba </w:t>
      </w:r>
      <w:r w:rsidRPr="003D45DD">
        <w:rPr>
          <w:rFonts w:cs="Arial"/>
          <w:szCs w:val="16"/>
        </w:rPr>
        <w:t>systémom</w:t>
      </w:r>
      <w:r w:rsidR="00E4105E" w:rsidRPr="003D45DD">
        <w:rPr>
          <w:rFonts w:cs="Arial"/>
          <w:szCs w:val="16"/>
        </w:rPr>
        <w:t xml:space="preserve"> </w:t>
      </w:r>
      <w:r w:rsidRPr="003D45DD">
        <w:rPr>
          <w:rFonts w:cs="Arial"/>
          <w:szCs w:val="16"/>
        </w:rPr>
        <w:t>predfinancovania</w:t>
      </w:r>
      <w:r w:rsidR="00E4105E" w:rsidRPr="003D45DD">
        <w:rPr>
          <w:rFonts w:cs="Arial"/>
          <w:szCs w:val="16"/>
        </w:rPr>
        <w:t xml:space="preserve"> alebo </w:t>
      </w:r>
      <w:r w:rsidRPr="003D45DD">
        <w:rPr>
          <w:rFonts w:cs="Arial"/>
          <w:szCs w:val="16"/>
        </w:rPr>
        <w:t>refundácie.</w:t>
      </w:r>
      <w:r w:rsidR="006363D5" w:rsidRPr="003D45DD">
        <w:rPr>
          <w:rFonts w:cs="Arial"/>
          <w:szCs w:val="16"/>
        </w:rPr>
        <w:t xml:space="preserve"> </w:t>
      </w:r>
      <w:r w:rsidR="009F25FA" w:rsidRPr="003D45DD">
        <w:rPr>
          <w:rFonts w:cs="Arial"/>
          <w:szCs w:val="16"/>
        </w:rPr>
        <w:t>Vo vzťahu k</w:t>
      </w:r>
      <w:r w:rsidR="00BF011F" w:rsidRPr="003D45DD">
        <w:rPr>
          <w:rFonts w:cs="Arial"/>
          <w:szCs w:val="16"/>
        </w:rPr>
        <w:t xml:space="preserve"> Dodatočné</w:t>
      </w:r>
      <w:r w:rsidR="009F25FA" w:rsidRPr="003D45DD">
        <w:rPr>
          <w:rFonts w:cs="Arial"/>
          <w:szCs w:val="16"/>
        </w:rPr>
        <w:t>mu</w:t>
      </w:r>
      <w:r w:rsidR="00BF011F" w:rsidRPr="003D45DD">
        <w:rPr>
          <w:rFonts w:cs="Arial"/>
          <w:szCs w:val="16"/>
        </w:rPr>
        <w:t xml:space="preserve"> príspevku </w:t>
      </w:r>
      <w:r w:rsidRPr="003D45DD">
        <w:rPr>
          <w:rFonts w:cs="Arial"/>
          <w:szCs w:val="16"/>
        </w:rPr>
        <w:t>Prijímateľ predkladá osobitn</w:t>
      </w:r>
      <w:r w:rsidR="009F25FA" w:rsidRPr="003D45DD">
        <w:rPr>
          <w:rFonts w:cs="Arial"/>
          <w:szCs w:val="16"/>
        </w:rPr>
        <w:t>ú</w:t>
      </w:r>
      <w:r w:rsidRPr="003D45DD">
        <w:rPr>
          <w:rFonts w:cs="Arial"/>
          <w:szCs w:val="16"/>
        </w:rPr>
        <w:t xml:space="preserve"> žiados</w:t>
      </w:r>
      <w:r w:rsidR="009F25FA" w:rsidRPr="003D45DD">
        <w:rPr>
          <w:rFonts w:cs="Arial"/>
          <w:szCs w:val="16"/>
        </w:rPr>
        <w:t>ť</w:t>
      </w:r>
      <w:r w:rsidRPr="003D45DD">
        <w:rPr>
          <w:rFonts w:cs="Arial"/>
          <w:szCs w:val="16"/>
        </w:rPr>
        <w:t xml:space="preserve"> o platbu na </w:t>
      </w:r>
      <w:r w:rsidR="009F25FA" w:rsidRPr="003D45DD">
        <w:rPr>
          <w:rFonts w:cs="Arial"/>
          <w:szCs w:val="16"/>
        </w:rPr>
        <w:t>D</w:t>
      </w:r>
      <w:r w:rsidRPr="003D45DD">
        <w:rPr>
          <w:rFonts w:cs="Arial"/>
          <w:szCs w:val="16"/>
        </w:rPr>
        <w:t xml:space="preserve">odatočný príspevok v súlade s pravidlami oprávnenosti výdavkov </w:t>
      </w:r>
      <w:r w:rsidR="003D45DD" w:rsidRPr="003D45DD">
        <w:rPr>
          <w:rFonts w:cs="Arial"/>
          <w:szCs w:val="16"/>
        </w:rPr>
        <w:t>podľa tejto Zmluvy o poskytnutí NFP</w:t>
      </w:r>
      <w:r w:rsidRPr="003D45DD">
        <w:rPr>
          <w:rFonts w:cs="Arial"/>
          <w:szCs w:val="16"/>
        </w:rPr>
        <w:t>.</w:t>
      </w:r>
    </w:p>
    <w:p w14:paraId="72C4BC55" w14:textId="77777777" w:rsidR="003D45DD" w:rsidRPr="003D45DD" w:rsidRDefault="003D45DD" w:rsidP="004D1E69">
      <w:pPr>
        <w:pStyle w:val="Odsekzoznamu"/>
        <w:jc w:val="both"/>
        <w:rPr>
          <w:rFonts w:cs="Arial"/>
          <w:szCs w:val="16"/>
        </w:rPr>
      </w:pPr>
    </w:p>
    <w:p w14:paraId="4C08A480" w14:textId="78159272" w:rsidR="004E1493" w:rsidRPr="002A38B6" w:rsidRDefault="00F05C83" w:rsidP="004D1E6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83"/>
        <w:jc w:val="both"/>
        <w:rPr>
          <w:rFonts w:cs="Arial"/>
          <w:szCs w:val="16"/>
        </w:rPr>
      </w:pPr>
      <w:r w:rsidRPr="002A38B6">
        <w:rPr>
          <w:lang w:eastAsia="x-none"/>
        </w:rPr>
        <w:t>Na vysporiadanie finančných vzťahov týkajúcich sa Dodatočného príspevku sa vzťahujú totožné zákonné a metodické postupy ako v prípade vysporiadania finančných vzťahov týkajúcich sa NFP.</w:t>
      </w:r>
      <w:r w:rsidR="004E1493" w:rsidRPr="002A38B6">
        <w:rPr>
          <w:lang w:eastAsia="x-none"/>
        </w:rPr>
        <w:t xml:space="preserve"> </w:t>
      </w:r>
      <w:r w:rsidR="004E1493" w:rsidRPr="002A38B6">
        <w:rPr>
          <w:rFonts w:cs="Arial"/>
          <w:bCs/>
          <w:iCs/>
        </w:rPr>
        <w:t xml:space="preserve">Pre vysporiadanie </w:t>
      </w:r>
      <w:r w:rsidR="00E75549">
        <w:rPr>
          <w:rFonts w:cs="Arial"/>
          <w:bCs/>
          <w:iCs/>
        </w:rPr>
        <w:t>D</w:t>
      </w:r>
      <w:r w:rsidR="004E1493" w:rsidRPr="002A38B6">
        <w:rPr>
          <w:rFonts w:cs="Arial"/>
          <w:bCs/>
          <w:iCs/>
        </w:rPr>
        <w:t xml:space="preserve">odatočného príspevku za zodpovedajúcu časť prostriedkov EÚ a prostriedkov na spolufinancovanie zo </w:t>
      </w:r>
      <w:r w:rsidR="00E75549">
        <w:rPr>
          <w:rFonts w:cs="Arial"/>
          <w:bCs/>
          <w:iCs/>
        </w:rPr>
        <w:t>štátneho rozpočtu</w:t>
      </w:r>
      <w:r w:rsidR="004E1493" w:rsidRPr="002A38B6">
        <w:rPr>
          <w:rFonts w:cs="Arial"/>
          <w:bCs/>
          <w:iCs/>
        </w:rPr>
        <w:t xml:space="preserve"> sa uplatnia rovnaké podmienky a bankové účty, ako platia pre NFP podľa Usmernenia č. 3/2015 - U k schéme procesov vrátenia finančných prostriedkov v rámci finančného riadenia štrukturálnych fondov, Kohézneho fondu, Európskeho fondu pre rybné hospodárstvo a Európskeho. </w:t>
      </w:r>
    </w:p>
    <w:p w14:paraId="388BD566" w14:textId="77777777" w:rsidR="002A38B6" w:rsidRPr="002A38B6" w:rsidRDefault="002A38B6" w:rsidP="004D1E69">
      <w:pPr>
        <w:pStyle w:val="Odsekzoznamu"/>
        <w:jc w:val="both"/>
        <w:rPr>
          <w:rFonts w:cs="Arial"/>
          <w:szCs w:val="16"/>
        </w:rPr>
      </w:pPr>
    </w:p>
    <w:p w14:paraId="35E6FFE1" w14:textId="62173827" w:rsidR="00C430E4" w:rsidRDefault="0009200D" w:rsidP="004D1E6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83"/>
        <w:jc w:val="both"/>
        <w:rPr>
          <w:rFonts w:cs="Arial"/>
          <w:szCs w:val="16"/>
        </w:rPr>
      </w:pPr>
      <w:r>
        <w:rPr>
          <w:rFonts w:cs="Arial"/>
          <w:szCs w:val="16"/>
        </w:rPr>
        <w:t xml:space="preserve">Zmluvné strany sa dohodli, že Prijímateľ nie je povinný navýšiť výšku </w:t>
      </w:r>
      <w:r w:rsidR="00C835F2">
        <w:rPr>
          <w:rFonts w:cs="Arial"/>
          <w:szCs w:val="16"/>
        </w:rPr>
        <w:t xml:space="preserve">alebo rozsah </w:t>
      </w:r>
      <w:r w:rsidR="008B0914">
        <w:rPr>
          <w:rFonts w:cs="Arial"/>
          <w:szCs w:val="16"/>
        </w:rPr>
        <w:t xml:space="preserve">zabezpečenia poskytnutého na </w:t>
      </w:r>
      <w:r w:rsidR="00561467">
        <w:rPr>
          <w:rFonts w:cs="Arial"/>
          <w:szCs w:val="16"/>
        </w:rPr>
        <w:t xml:space="preserve">zabezpečenie </w:t>
      </w:r>
      <w:r>
        <w:rPr>
          <w:rFonts w:cs="Arial"/>
          <w:szCs w:val="16"/>
        </w:rPr>
        <w:t>pohľadávk</w:t>
      </w:r>
      <w:r w:rsidR="00561467">
        <w:rPr>
          <w:rFonts w:cs="Arial"/>
          <w:szCs w:val="16"/>
        </w:rPr>
        <w:t>y</w:t>
      </w:r>
      <w:r w:rsidR="00063131">
        <w:rPr>
          <w:rFonts w:cs="Arial"/>
          <w:szCs w:val="16"/>
        </w:rPr>
        <w:t xml:space="preserve"> </w:t>
      </w:r>
      <w:r w:rsidR="00C835F2">
        <w:rPr>
          <w:rFonts w:cs="Arial"/>
          <w:szCs w:val="16"/>
        </w:rPr>
        <w:t xml:space="preserve">zo Zmluvy o poskytnutí NFP </w:t>
      </w:r>
      <w:r>
        <w:rPr>
          <w:rFonts w:cs="Arial"/>
          <w:szCs w:val="16"/>
        </w:rPr>
        <w:t xml:space="preserve">podľa článku </w:t>
      </w:r>
      <w:r w:rsidR="00D31227">
        <w:rPr>
          <w:rFonts w:cs="Arial"/>
          <w:szCs w:val="16"/>
        </w:rPr>
        <w:t>13 VZP tak, aby zohľadňoval</w:t>
      </w:r>
      <w:r w:rsidR="00561467">
        <w:rPr>
          <w:rFonts w:cs="Arial"/>
          <w:szCs w:val="16"/>
        </w:rPr>
        <w:t>o</w:t>
      </w:r>
      <w:r w:rsidR="00D31227">
        <w:rPr>
          <w:rFonts w:cs="Arial"/>
          <w:szCs w:val="16"/>
        </w:rPr>
        <w:t xml:space="preserve"> aj výšku poskytnutého Dodatočného príspevku, ibaže z Právneho dokumentu vydaného Poskytovateľom bude vyplývať </w:t>
      </w:r>
      <w:r w:rsidR="00CE016C">
        <w:rPr>
          <w:rFonts w:cs="Arial"/>
          <w:szCs w:val="16"/>
        </w:rPr>
        <w:t xml:space="preserve">iný postup. </w:t>
      </w:r>
      <w:r w:rsidR="00E61578">
        <w:rPr>
          <w:rFonts w:cs="Arial"/>
          <w:szCs w:val="16"/>
        </w:rPr>
        <w:t xml:space="preserve">Pravidlo dohodnuté v prvej vete tohto odseku sa primerane uplatní aj vo vzťahu k poisteniu Predmetu Projektu a/alebo zálohu. </w:t>
      </w:r>
    </w:p>
    <w:p w14:paraId="2A160C59" w14:textId="77777777" w:rsidR="003266BA" w:rsidRPr="003266BA" w:rsidRDefault="003266BA" w:rsidP="00436601">
      <w:pPr>
        <w:pStyle w:val="Odsekzoznamu"/>
        <w:rPr>
          <w:rFonts w:cs="Arial"/>
          <w:szCs w:val="16"/>
        </w:rPr>
      </w:pPr>
    </w:p>
    <w:p w14:paraId="05FF39CB" w14:textId="504A4ECF" w:rsidR="003266BA" w:rsidRPr="00436601" w:rsidRDefault="00A24913" w:rsidP="00436601">
      <w:pPr>
        <w:pStyle w:val="Odsekzoznamu"/>
        <w:numPr>
          <w:ilvl w:val="0"/>
          <w:numId w:val="7"/>
        </w:numPr>
        <w:jc w:val="both"/>
        <w:rPr>
          <w:b/>
          <w:bCs/>
        </w:rPr>
      </w:pPr>
      <w:r w:rsidRPr="00436601">
        <w:rPr>
          <w:b/>
          <w:bCs/>
        </w:rPr>
        <w:t xml:space="preserve">Článok 1 odsek 3 VZP – </w:t>
      </w:r>
      <w:r w:rsidR="003266BA" w:rsidRPr="00436601">
        <w:rPr>
          <w:b/>
          <w:bCs/>
        </w:rPr>
        <w:t>Definície</w:t>
      </w:r>
      <w:r w:rsidRPr="00436601">
        <w:rPr>
          <w:b/>
          <w:bCs/>
        </w:rPr>
        <w:t xml:space="preserve"> sa</w:t>
      </w:r>
      <w:r w:rsidR="003266BA" w:rsidRPr="00436601">
        <w:rPr>
          <w:b/>
          <w:bCs/>
        </w:rPr>
        <w:t xml:space="preserve"> </w:t>
      </w:r>
      <w:r w:rsidRPr="00436601">
        <w:rPr>
          <w:b/>
          <w:bCs/>
        </w:rPr>
        <w:t xml:space="preserve">dopĺňa o novú definíciu dodatočného príspevku, ktorá znie takto: </w:t>
      </w:r>
    </w:p>
    <w:p w14:paraId="2B58E48F" w14:textId="77777777" w:rsidR="003266BA" w:rsidRDefault="003266BA" w:rsidP="003266BA">
      <w:pPr>
        <w:jc w:val="both"/>
      </w:pPr>
      <w:r w:rsidRPr="008F0905">
        <w:rPr>
          <w:b/>
          <w:bCs/>
        </w:rPr>
        <w:t>Dodatočný príspevok</w:t>
      </w:r>
      <w:r>
        <w:t xml:space="preserve"> – finančné prostriedky podľa § 3 ods. 1 písm. a) bod 2. zákona o príspevku z EŠIF, ktorý sa poskytuje </w:t>
      </w:r>
      <w:r w:rsidRPr="00B544B2">
        <w:t xml:space="preserve">k </w:t>
      </w:r>
      <w:r>
        <w:t>NFP</w:t>
      </w:r>
      <w:r w:rsidRPr="00B544B2">
        <w:t xml:space="preserve"> na </w:t>
      </w:r>
      <w:r>
        <w:t>R</w:t>
      </w:r>
      <w:r w:rsidRPr="00B544B2">
        <w:t xml:space="preserve">ealizáciu </w:t>
      </w:r>
      <w:r>
        <w:t>hlavných aktivít P</w:t>
      </w:r>
      <w:r w:rsidRPr="00B544B2">
        <w:t xml:space="preserve">rojektu </w:t>
      </w:r>
      <w:r>
        <w:t>podľa tejto Zmluvy o poskytnutí NFP za účelom posilnenia schopnosti Prijímateľa dosiahnuť cieľ Projektu podľa článku 2 ods. 2.2 zmluvy; mechanizmus poskytnutia dodatočného príspevku, práva a povinnosti Poskytovateľa ako aj Prijímateľa v súvislosti s poskytnutím a  vrátením Dodatočného príspevku alebo jeho časti sú upravené v Právnych dokumentoch vydaných v nadväznosti na zákon č. 198/2022 Z. z., ktorým bol novelizovaný zákon o príspevku z EŠIF, týmito subjektami:</w:t>
      </w:r>
    </w:p>
    <w:p w14:paraId="0C450430" w14:textId="77777777" w:rsidR="003266BA" w:rsidRDefault="003266BA" w:rsidP="003266BA">
      <w:pPr>
        <w:pStyle w:val="Odsekzoznamu"/>
        <w:numPr>
          <w:ilvl w:val="0"/>
          <w:numId w:val="1"/>
        </w:numPr>
        <w:jc w:val="both"/>
      </w:pPr>
      <w:r>
        <w:t xml:space="preserve">CKO ako metodický výklad k novele zákona o príspevku z EŠIF, prípadne ako súčasť Systému riadenia EŠIF alebo metodické usmernenie k osobitným oblastiam týkajúcim sa aj poskytnutia Dodatočného príspevku (napríklad vo vzťahu k monitorovaniu Projektu, k výkonu kontroly), </w:t>
      </w:r>
    </w:p>
    <w:p w14:paraId="4EBE6ECB" w14:textId="77777777" w:rsidR="003266BA" w:rsidRPr="0032263E" w:rsidRDefault="003266BA" w:rsidP="003266BA">
      <w:pPr>
        <w:pStyle w:val="Odsekzoznamu"/>
        <w:numPr>
          <w:ilvl w:val="0"/>
          <w:numId w:val="1"/>
        </w:numPr>
        <w:jc w:val="both"/>
      </w:pPr>
      <w:r>
        <w:t xml:space="preserve">CO ako </w:t>
      </w:r>
      <w:r w:rsidRPr="0032263E">
        <w:rPr>
          <w:rFonts w:cs="Arial"/>
          <w:szCs w:val="16"/>
        </w:rPr>
        <w:t xml:space="preserve">Usmernenie </w:t>
      </w:r>
      <w:r>
        <w:rPr>
          <w:rFonts w:cs="Arial"/>
          <w:szCs w:val="16"/>
        </w:rPr>
        <w:t>č</w:t>
      </w:r>
      <w:r w:rsidRPr="0032263E">
        <w:rPr>
          <w:rFonts w:cs="Arial"/>
          <w:szCs w:val="16"/>
        </w:rPr>
        <w:t xml:space="preserve">. 1/2022 – U  k finančnému riadeniu mechanizmu poskytnutia dodatočného príspevku </w:t>
      </w:r>
      <w:r>
        <w:rPr>
          <w:rFonts w:cs="Arial"/>
          <w:szCs w:val="16"/>
        </w:rPr>
        <w:t>a</w:t>
      </w:r>
    </w:p>
    <w:p w14:paraId="7AAD34EA" w14:textId="77777777" w:rsidR="003266BA" w:rsidRPr="000963D5" w:rsidRDefault="003266BA" w:rsidP="003266BA">
      <w:pPr>
        <w:pStyle w:val="Odsekzoznamu"/>
        <w:numPr>
          <w:ilvl w:val="0"/>
          <w:numId w:val="1"/>
        </w:numPr>
        <w:jc w:val="both"/>
      </w:pPr>
      <w:r w:rsidRPr="0032263E">
        <w:rPr>
          <w:rFonts w:cs="Arial"/>
          <w:szCs w:val="16"/>
        </w:rPr>
        <w:t xml:space="preserve">Poskytovateľa ako Právny dokument k poskytnutiu </w:t>
      </w:r>
      <w:r>
        <w:rPr>
          <w:rFonts w:cs="Arial"/>
          <w:szCs w:val="16"/>
        </w:rPr>
        <w:t>D</w:t>
      </w:r>
      <w:r w:rsidRPr="0032263E">
        <w:rPr>
          <w:rFonts w:cs="Arial"/>
          <w:szCs w:val="16"/>
        </w:rPr>
        <w:t>odatočného príspevku</w:t>
      </w:r>
      <w:r>
        <w:rPr>
          <w:rFonts w:cs="Arial"/>
          <w:szCs w:val="16"/>
        </w:rPr>
        <w:t xml:space="preserve">, </w:t>
      </w:r>
    </w:p>
    <w:p w14:paraId="61D3E6AC" w14:textId="7F8612F2" w:rsidR="003266BA" w:rsidRDefault="003266BA" w:rsidP="003266BA">
      <w:pPr>
        <w:jc w:val="both"/>
        <w:rPr>
          <w:rFonts w:cs="Arial"/>
          <w:szCs w:val="16"/>
        </w:rPr>
      </w:pPr>
      <w:r>
        <w:rPr>
          <w:rFonts w:cs="Arial"/>
          <w:szCs w:val="16"/>
        </w:rPr>
        <w:t>pričom všetky Právne dokumenty podľa bodov (i) až (iii) sú pre Zmluvné strany záväzné v rozsahu, v ktorom sa týkajú ich právneho postavenia, práv a povinností vo vzťahu k poskytnutiu a prípadnému vráteniu Dodatočného príspevku alebo jeho časti;</w:t>
      </w:r>
      <w:r w:rsidR="00A24913">
        <w:rPr>
          <w:rFonts w:cs="Arial"/>
          <w:szCs w:val="16"/>
        </w:rPr>
        <w:t>.</w:t>
      </w:r>
    </w:p>
    <w:p w14:paraId="5591D469" w14:textId="6F496418" w:rsidR="00A24913" w:rsidRPr="00A24913" w:rsidRDefault="00A24913" w:rsidP="00A24913">
      <w:pPr>
        <w:jc w:val="both"/>
        <w:rPr>
          <w:rFonts w:cs="Arial"/>
          <w:szCs w:val="16"/>
        </w:rPr>
      </w:pPr>
      <w:r w:rsidRPr="00A24913">
        <w:rPr>
          <w:rFonts w:cs="Arial"/>
          <w:szCs w:val="16"/>
        </w:rPr>
        <w:t>Tie ustanovenia Zmluvy o poskytnutí NFP, ktoré nie sú dotknuté dohodnutými zmenami podľa odsekov 1. a 2. vyššie, zostávajú nezmenené.“</w:t>
      </w:r>
    </w:p>
    <w:p w14:paraId="6FD71A3A" w14:textId="77777777" w:rsidR="003266BA" w:rsidRPr="003266BA" w:rsidRDefault="003266BA" w:rsidP="00436601">
      <w:pPr>
        <w:autoSpaceDE w:val="0"/>
        <w:autoSpaceDN w:val="0"/>
        <w:adjustRightInd w:val="0"/>
        <w:spacing w:after="120"/>
        <w:jc w:val="both"/>
        <w:rPr>
          <w:rFonts w:cs="Arial"/>
          <w:szCs w:val="16"/>
        </w:rPr>
      </w:pPr>
    </w:p>
    <w:sectPr w:rsidR="003266BA" w:rsidRPr="00326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date="2022-06-29T14:43:00Z" w:initials=" ">
    <w:p w14:paraId="7DE56967" w14:textId="3D29D767" w:rsidR="000922AE" w:rsidRDefault="000922AE">
      <w:pPr>
        <w:pStyle w:val="Textkomentra"/>
      </w:pPr>
      <w:r>
        <w:rPr>
          <w:rStyle w:val="Odkaznakomentr"/>
        </w:rPr>
        <w:annotationRef/>
      </w:r>
      <w:r>
        <w:t>Uvedie sa "b)", ak sa v danom projekte neuplatňuje čistý príjem, teda sa z konkrétnej zmluvy vypustilo písm. a) z článku 3 ods. 3.1 vzoru zmluvy č. 28.</w:t>
      </w:r>
    </w:p>
  </w:comment>
  <w:comment w:id="2" w:author="autor" w:date="2022-06-29T14:43:00Z" w:initials=" ">
    <w:p w14:paraId="6694B55E" w14:textId="54DE144D" w:rsidR="000922AE" w:rsidRDefault="000922AE">
      <w:pPr>
        <w:pStyle w:val="Textkomentra"/>
      </w:pPr>
      <w:r>
        <w:rPr>
          <w:rStyle w:val="Odkaznakomentr"/>
        </w:rPr>
        <w:annotationRef/>
      </w:r>
      <w:r>
        <w:t>Uvedie sa "c)", ak sa v danom projekte neuplatňuje čistý príjem, teda sa z konkrétnej zmluvy vypustilo písm. a) z článku 3 ods. 3.1 vzoru zmluvy č. 28.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E56967" w15:done="0"/>
  <w15:commentEx w15:paraId="6694B55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96586" w16cex:dateUtc="2022-06-30T09:15:00Z"/>
  <w16cex:commentExtensible w16cex:durableId="26696587" w16cex:dateUtc="2022-06-30T09:06:00Z"/>
  <w16cex:commentExtensible w16cex:durableId="26696588" w16cex:dateUtc="2022-06-29T12:43:00Z"/>
  <w16cex:commentExtensible w16cex:durableId="26696589" w16cex:dateUtc="2022-06-29T12:43:00Z"/>
  <w16cex:commentExtensible w16cex:durableId="2669658A" w16cex:dateUtc="2022-06-29T12:44:00Z"/>
  <w16cex:commentExtensible w16cex:durableId="2669658B" w16cex:dateUtc="2022-06-30T09:13:00Z"/>
  <w16cex:commentExtensible w16cex:durableId="2669658C" w16cex:dateUtc="2022-06-29T12:48:00Z"/>
  <w16cex:commentExtensible w16cex:durableId="2669658D" w16cex:dateUtc="2022-06-30T12:01:00Z"/>
  <w16cex:commentExtensible w16cex:durableId="266969DA" w16cex:dateUtc="2022-06-30T09:06:00Z"/>
  <w16cex:commentExtensible w16cex:durableId="26697D33" w16cex:dateUtc="2022-07-01T12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8F4B37" w16cid:durableId="26696586"/>
  <w16cid:commentId w16cid:paraId="34521AA7" w16cid:durableId="26696587"/>
  <w16cid:commentId w16cid:paraId="7DE56967" w16cid:durableId="26696588"/>
  <w16cid:commentId w16cid:paraId="6694B55E" w16cid:durableId="26696589"/>
  <w16cid:commentId w16cid:paraId="66929BC6" w16cid:durableId="2669658A"/>
  <w16cid:commentId w16cid:paraId="0E0AC6AE" w16cid:durableId="2669658B"/>
  <w16cid:commentId w16cid:paraId="2E754B6C" w16cid:durableId="2669658C"/>
  <w16cid:commentId w16cid:paraId="6BA6D175" w16cid:durableId="2669658D"/>
  <w16cid:commentId w16cid:paraId="19454375" w16cid:durableId="266969DA"/>
  <w16cid:commentId w16cid:paraId="317761A0" w16cid:durableId="26697D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C92"/>
    <w:multiLevelType w:val="hybridMultilevel"/>
    <w:tmpl w:val="80A6D28E"/>
    <w:lvl w:ilvl="0" w:tplc="6B006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F43A4"/>
    <w:multiLevelType w:val="hybridMultilevel"/>
    <w:tmpl w:val="D658925E"/>
    <w:lvl w:ilvl="0" w:tplc="AC8049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F12001"/>
    <w:multiLevelType w:val="hybridMultilevel"/>
    <w:tmpl w:val="EFE6DA9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13500"/>
    <w:multiLevelType w:val="hybridMultilevel"/>
    <w:tmpl w:val="483A39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8B27D2"/>
    <w:multiLevelType w:val="hybridMultilevel"/>
    <w:tmpl w:val="AC723600"/>
    <w:lvl w:ilvl="0" w:tplc="34D8C8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F01406"/>
    <w:multiLevelType w:val="hybridMultilevel"/>
    <w:tmpl w:val="E0128D7E"/>
    <w:lvl w:ilvl="0" w:tplc="35D8ED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248A2"/>
    <w:multiLevelType w:val="hybridMultilevel"/>
    <w:tmpl w:val="EFE6DA9C"/>
    <w:lvl w:ilvl="0" w:tplc="CBF29DE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B2"/>
    <w:rsid w:val="0000146C"/>
    <w:rsid w:val="00021EF2"/>
    <w:rsid w:val="000262F3"/>
    <w:rsid w:val="000311E1"/>
    <w:rsid w:val="00057850"/>
    <w:rsid w:val="00063131"/>
    <w:rsid w:val="00074E2A"/>
    <w:rsid w:val="000825DB"/>
    <w:rsid w:val="0009200D"/>
    <w:rsid w:val="000922AE"/>
    <w:rsid w:val="000963D5"/>
    <w:rsid w:val="000A13C7"/>
    <w:rsid w:val="000B1C14"/>
    <w:rsid w:val="000E551D"/>
    <w:rsid w:val="000F359A"/>
    <w:rsid w:val="000F52FE"/>
    <w:rsid w:val="00126399"/>
    <w:rsid w:val="00141C6C"/>
    <w:rsid w:val="001B0E41"/>
    <w:rsid w:val="001D3A0E"/>
    <w:rsid w:val="001E3A61"/>
    <w:rsid w:val="001E5741"/>
    <w:rsid w:val="001E5E51"/>
    <w:rsid w:val="001E6BF8"/>
    <w:rsid w:val="001F72CF"/>
    <w:rsid w:val="00210F17"/>
    <w:rsid w:val="002204B4"/>
    <w:rsid w:val="00232BCA"/>
    <w:rsid w:val="002359B7"/>
    <w:rsid w:val="002526C0"/>
    <w:rsid w:val="002A38B6"/>
    <w:rsid w:val="00303D47"/>
    <w:rsid w:val="0032263E"/>
    <w:rsid w:val="00323D62"/>
    <w:rsid w:val="003266BA"/>
    <w:rsid w:val="00332766"/>
    <w:rsid w:val="00336646"/>
    <w:rsid w:val="003963F2"/>
    <w:rsid w:val="003A5524"/>
    <w:rsid w:val="003B7375"/>
    <w:rsid w:val="003D45DD"/>
    <w:rsid w:val="003E338A"/>
    <w:rsid w:val="003E6413"/>
    <w:rsid w:val="00400916"/>
    <w:rsid w:val="00403C84"/>
    <w:rsid w:val="00413F68"/>
    <w:rsid w:val="00422B02"/>
    <w:rsid w:val="00426078"/>
    <w:rsid w:val="00436601"/>
    <w:rsid w:val="00452E18"/>
    <w:rsid w:val="00461FB8"/>
    <w:rsid w:val="00463812"/>
    <w:rsid w:val="00464D33"/>
    <w:rsid w:val="004656FA"/>
    <w:rsid w:val="00470AEB"/>
    <w:rsid w:val="00492FB9"/>
    <w:rsid w:val="004D1E69"/>
    <w:rsid w:val="004E1493"/>
    <w:rsid w:val="00507F08"/>
    <w:rsid w:val="00510389"/>
    <w:rsid w:val="00530546"/>
    <w:rsid w:val="00561467"/>
    <w:rsid w:val="00562380"/>
    <w:rsid w:val="005805EE"/>
    <w:rsid w:val="005A377F"/>
    <w:rsid w:val="005C07A7"/>
    <w:rsid w:val="005C457A"/>
    <w:rsid w:val="005D6FE7"/>
    <w:rsid w:val="005F1ECB"/>
    <w:rsid w:val="00602628"/>
    <w:rsid w:val="00607CEC"/>
    <w:rsid w:val="00611D89"/>
    <w:rsid w:val="006363D5"/>
    <w:rsid w:val="0064100A"/>
    <w:rsid w:val="00670645"/>
    <w:rsid w:val="006919AF"/>
    <w:rsid w:val="00697D16"/>
    <w:rsid w:val="006E0DBF"/>
    <w:rsid w:val="006F20FE"/>
    <w:rsid w:val="00701CD4"/>
    <w:rsid w:val="007037BD"/>
    <w:rsid w:val="00761454"/>
    <w:rsid w:val="007A0925"/>
    <w:rsid w:val="007D1851"/>
    <w:rsid w:val="00833670"/>
    <w:rsid w:val="0085226E"/>
    <w:rsid w:val="00862010"/>
    <w:rsid w:val="008B0914"/>
    <w:rsid w:val="008B5DBE"/>
    <w:rsid w:val="008B5F22"/>
    <w:rsid w:val="008B75A4"/>
    <w:rsid w:val="008E567E"/>
    <w:rsid w:val="008F0905"/>
    <w:rsid w:val="00900D5F"/>
    <w:rsid w:val="009464C8"/>
    <w:rsid w:val="00964E86"/>
    <w:rsid w:val="009B2699"/>
    <w:rsid w:val="009B3ED0"/>
    <w:rsid w:val="009F25FA"/>
    <w:rsid w:val="009F2DFA"/>
    <w:rsid w:val="009F44DA"/>
    <w:rsid w:val="009F4E88"/>
    <w:rsid w:val="009F6AF2"/>
    <w:rsid w:val="00A24913"/>
    <w:rsid w:val="00A3613C"/>
    <w:rsid w:val="00A623ED"/>
    <w:rsid w:val="00A72217"/>
    <w:rsid w:val="00A75829"/>
    <w:rsid w:val="00A97C00"/>
    <w:rsid w:val="00AB2D4F"/>
    <w:rsid w:val="00AF4062"/>
    <w:rsid w:val="00B4684E"/>
    <w:rsid w:val="00B544B2"/>
    <w:rsid w:val="00B87546"/>
    <w:rsid w:val="00B936BB"/>
    <w:rsid w:val="00BB0A67"/>
    <w:rsid w:val="00BB1453"/>
    <w:rsid w:val="00BD2587"/>
    <w:rsid w:val="00BE1AF6"/>
    <w:rsid w:val="00BE2AC1"/>
    <w:rsid w:val="00BF011F"/>
    <w:rsid w:val="00BF58DB"/>
    <w:rsid w:val="00C430E4"/>
    <w:rsid w:val="00C709B6"/>
    <w:rsid w:val="00C835F2"/>
    <w:rsid w:val="00CA0F8F"/>
    <w:rsid w:val="00CB1F0E"/>
    <w:rsid w:val="00CC5F8E"/>
    <w:rsid w:val="00CC6798"/>
    <w:rsid w:val="00CE016C"/>
    <w:rsid w:val="00CF18A8"/>
    <w:rsid w:val="00CF560B"/>
    <w:rsid w:val="00D31227"/>
    <w:rsid w:val="00D718B2"/>
    <w:rsid w:val="00DB449A"/>
    <w:rsid w:val="00E2219E"/>
    <w:rsid w:val="00E32634"/>
    <w:rsid w:val="00E4105E"/>
    <w:rsid w:val="00E41D5D"/>
    <w:rsid w:val="00E61578"/>
    <w:rsid w:val="00E67EFB"/>
    <w:rsid w:val="00E75549"/>
    <w:rsid w:val="00EA39DC"/>
    <w:rsid w:val="00EA7E62"/>
    <w:rsid w:val="00ED2EA0"/>
    <w:rsid w:val="00EE61F9"/>
    <w:rsid w:val="00F00BDB"/>
    <w:rsid w:val="00F05AD7"/>
    <w:rsid w:val="00F05C83"/>
    <w:rsid w:val="00F10548"/>
    <w:rsid w:val="00F16B5A"/>
    <w:rsid w:val="00F37670"/>
    <w:rsid w:val="00F71D54"/>
    <w:rsid w:val="00F81565"/>
    <w:rsid w:val="00F834D7"/>
    <w:rsid w:val="00F94885"/>
    <w:rsid w:val="00FE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0B7E2"/>
  <w15:chartTrackingRefBased/>
  <w15:docId w15:val="{D55AD53E-C795-4C73-B756-89623BE9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204B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2263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97D1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97D1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97D1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7D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7D16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2204B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2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22AE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3266BA"/>
    <w:pPr>
      <w:spacing w:after="0" w:line="240" w:lineRule="auto"/>
    </w:pPr>
  </w:style>
  <w:style w:type="paragraph" w:customStyle="1" w:styleId="pf0">
    <w:name w:val="pf0"/>
    <w:basedOn w:val="Normlny"/>
    <w:rsid w:val="00BD2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f01">
    <w:name w:val="cf01"/>
    <w:basedOn w:val="Predvolenpsmoodseku"/>
    <w:rsid w:val="00BD258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6/09/relationships/commentsIds" Target="commentsIds.xml"/><Relationship Id="rId5" Type="http://schemas.openxmlformats.org/officeDocument/2006/relationships/comments" Target="comment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1206</Words>
  <Characters>6878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Bollová</dc:creator>
  <cp:keywords/>
  <dc:description/>
  <cp:lastModifiedBy>autor</cp:lastModifiedBy>
  <cp:revision>4</cp:revision>
  <dcterms:created xsi:type="dcterms:W3CDTF">2022-07-01T12:25:00Z</dcterms:created>
  <dcterms:modified xsi:type="dcterms:W3CDTF">2022-07-01T12:48:00Z</dcterms:modified>
</cp:coreProperties>
</file>